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vertAlign w:val="baseli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潍坊建邦置业有限公司建邦•朴拙园一期建设项目环境保护验收监测报告表意见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修改说明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968"/>
        <w:gridCol w:w="3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39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意见</w:t>
            </w:r>
          </w:p>
        </w:tc>
        <w:tc>
          <w:tcPr>
            <w:tcW w:w="36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68" w:type="dxa"/>
            <w:vAlign w:val="center"/>
          </w:tcPr>
          <w:p>
            <w:p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补充给出近距离有污染的企业名称和距离。</w:t>
            </w:r>
          </w:p>
        </w:tc>
        <w:tc>
          <w:tcPr>
            <w:tcW w:w="3698" w:type="dxa"/>
            <w:vAlign w:val="center"/>
          </w:tcPr>
          <w:p>
            <w:pPr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已补充，详见图3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68" w:type="dxa"/>
            <w:vAlign w:val="center"/>
          </w:tcPr>
          <w:p>
            <w:pPr>
              <w:adjustRightInd w:val="0"/>
              <w:spacing w:line="520" w:lineRule="exact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核实地下停车场（无地下建筑面积）。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369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已核实，本项目无地下停车场，详见表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-1  项目组成一览表，已说明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68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明确有无换热站（来小区的是热水还是蒸汽，如果是蒸汽就应当有换热站。和热站有可能不在金安热电厂区，有可能在别的小区或某个独立区域，即有可能多个小区使用1个换热站）、自来水二次加压泵、电梯、污水处理站及中水回用泵、商业（特别是餐饮业）等。</w:t>
            </w:r>
          </w:p>
        </w:tc>
        <w:tc>
          <w:tcPr>
            <w:tcW w:w="3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已明确本项目只有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自来水二次加压泵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、热水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二次加压泵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，详见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eastAsia="zh-CN"/>
              </w:rPr>
              <w:t>-1  项目组成一览表，已说明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68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平面图中给出化粪池（多少个）、垃圾收集桶（多少个）位置。</w:t>
            </w:r>
          </w:p>
        </w:tc>
        <w:tc>
          <w:tcPr>
            <w:tcW w:w="36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已修改，详见图2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3968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补充调查规划、实际入住户数和人数（75%的运行负荷指的就是这个）。</w:t>
            </w:r>
          </w:p>
        </w:tc>
        <w:tc>
          <w:tcPr>
            <w:tcW w:w="3698" w:type="dxa"/>
            <w:vAlign w:val="center"/>
          </w:tcPr>
          <w:p>
            <w:pPr>
              <w:pStyle w:val="6"/>
              <w:snapToGrid w:val="0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已补充，详见</w:t>
            </w:r>
            <w:bookmarkStart w:id="0" w:name="_Toc507794353"/>
            <w:bookmarkStart w:id="1" w:name="_Toc332611623"/>
            <w:bookmarkStart w:id="2" w:name="_Toc332611320"/>
            <w:bookmarkStart w:id="3" w:name="_Toc14475"/>
            <w:bookmarkStart w:id="4" w:name="_Toc342550063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9.1 验收期间的工况调查</w:t>
            </w:r>
            <w:bookmarkEnd w:id="0"/>
          </w:p>
          <w:bookmarkEnd w:id="1"/>
          <w:bookmarkEnd w:id="2"/>
          <w:bookmarkEnd w:id="3"/>
          <w:bookmarkEnd w:id="4"/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3968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给出项目变更情况，分别给出环评及批复情况、实际建设情况、变动情况、变动原因等。</w:t>
            </w:r>
          </w:p>
        </w:tc>
        <w:tc>
          <w:tcPr>
            <w:tcW w:w="3698" w:type="dxa"/>
            <w:vAlign w:val="center"/>
          </w:tcPr>
          <w:p>
            <w:pPr>
              <w:pStyle w:val="6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已修改，详见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项目变动情况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及表4-2“三同时”落实情况一览表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968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结论部分细化本项目环保执行情况。</w:t>
            </w:r>
          </w:p>
        </w:tc>
        <w:tc>
          <w:tcPr>
            <w:tcW w:w="3698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已细化，详见</w:t>
            </w:r>
            <w:bookmarkStart w:id="5" w:name="_Toc507794365"/>
            <w:bookmarkStart w:id="6" w:name="_Toc12658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0</w:t>
            </w:r>
            <w:bookmarkEnd w:id="5"/>
            <w:bookmarkEnd w:id="6"/>
            <w:r>
              <w:rPr>
                <w:rFonts w:hint="default" w:asciiTheme="minorEastAsia" w:hAnsiTheme="minorEastAsia" w:eastAsiaTheme="minorEastAsia" w:cstheme="minorEastAsia"/>
                <w:b w:val="0"/>
                <w:color w:val="auto"/>
                <w:kern w:val="2"/>
                <w:sz w:val="24"/>
                <w:szCs w:val="24"/>
                <w:lang w:val="en-US" w:eastAsia="zh-CN" w:bidi="ar-SA"/>
              </w:rPr>
              <w:t>验收监测结论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bookmarkStart w:id="7" w:name="_GoBack"/>
            <w:bookmarkEnd w:id="7"/>
          </w:p>
        </w:tc>
      </w:tr>
    </w:tbl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5B8FF"/>
    <w:multiLevelType w:val="multilevel"/>
    <w:tmpl w:val="59E5B8FF"/>
    <w:lvl w:ilvl="0" w:tentative="0">
      <w:start w:val="1"/>
      <w:numFmt w:val="decimal"/>
      <w:pStyle w:val="5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94853"/>
    <w:rsid w:val="25B04411"/>
    <w:rsid w:val="282104E2"/>
    <w:rsid w:val="5E141C9A"/>
    <w:rsid w:val="61144D8E"/>
    <w:rsid w:val="64BB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96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00" w:beforeLines="0" w:beforeAutospacing="0" w:after="100" w:afterLines="0" w:afterAutospacing="0" w:line="360" w:lineRule="auto"/>
      <w:ind w:left="432" w:hanging="432"/>
      <w:outlineLvl w:val="0"/>
    </w:pPr>
    <w:rPr>
      <w:b/>
      <w:kern w:val="44"/>
      <w:sz w:val="24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autoSpaceDN w:val="0"/>
      <w:adjustRightInd w:val="0"/>
      <w:spacing w:line="360" w:lineRule="auto"/>
      <w:outlineLvl w:val="1"/>
    </w:pPr>
    <w:rPr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afterLines="0"/>
      <w:ind w:left="420" w:leftChars="200" w:firstLine="420" w:firstLineChars="200"/>
    </w:pPr>
    <w:rPr>
      <w:rFonts w:ascii="Times New Roman" w:hAnsi="Times New Roman"/>
      <w:szCs w:val="20"/>
      <w:u w:val="none"/>
    </w:rPr>
  </w:style>
  <w:style w:type="paragraph" w:styleId="3">
    <w:name w:val="Body Text Indent"/>
    <w:basedOn w:val="1"/>
    <w:next w:val="4"/>
    <w:qFormat/>
    <w:uiPriority w:val="0"/>
    <w:pPr>
      <w:snapToGrid w:val="0"/>
      <w:spacing w:before="100" w:line="240" w:lineRule="atLeast"/>
      <w:ind w:left="91" w:firstLine="561"/>
    </w:pPr>
    <w:rPr>
      <w:rFonts w:ascii="仿宋_GB2312" w:eastAsia="仿宋_GB2312"/>
      <w:sz w:val="24"/>
      <w:szCs w:val="20"/>
    </w:rPr>
  </w:style>
  <w:style w:type="paragraph" w:customStyle="1" w:styleId="4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  <w:sz w:val="24"/>
    </w:rPr>
  </w:style>
  <w:style w:type="paragraph" w:styleId="7">
    <w:name w:val="Normal (Web)"/>
    <w:basedOn w:val="1"/>
    <w:qFormat/>
    <w:uiPriority w:val="0"/>
    <w:pPr>
      <w:widowControl/>
      <w:adjustRightInd w:val="0"/>
      <w:snapToGrid w:val="0"/>
      <w:ind w:firstLine="360" w:firstLineChars="200"/>
    </w:pPr>
    <w:rPr>
      <w:rFonts w:ascii="宋体"/>
      <w:color w:val="000000"/>
      <w:kern w:val="0"/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