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潍坊全盛置业有限公司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丹桂轩·连丰花园建设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项目环境保护验收监测报告表意见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修改说明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645"/>
        <w:gridCol w:w="4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36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意见</w:t>
            </w:r>
          </w:p>
        </w:tc>
        <w:tc>
          <w:tcPr>
            <w:tcW w:w="402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645" w:type="dxa"/>
            <w:vAlign w:val="center"/>
          </w:tcPr>
          <w:p>
            <w:pPr>
              <w:adjustRightInd w:val="0"/>
              <w:spacing w:line="52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核实小区边界（原边界内只有13座楼）。</w:t>
            </w:r>
          </w:p>
        </w:tc>
        <w:tc>
          <w:tcPr>
            <w:tcW w:w="4021" w:type="dxa"/>
            <w:vAlign w:val="center"/>
          </w:tcPr>
          <w:p>
            <w:p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已核实边界，详见图2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645" w:type="dxa"/>
            <w:vAlign w:val="center"/>
          </w:tcPr>
          <w:p>
            <w:p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补充给出近距离有污染的企业名称和距离。</w:t>
            </w:r>
          </w:p>
        </w:tc>
        <w:tc>
          <w:tcPr>
            <w:tcW w:w="4021" w:type="dxa"/>
            <w:vAlign w:val="center"/>
          </w:tcPr>
          <w:p>
            <w:p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已补充，详见图3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645" w:type="dxa"/>
            <w:vAlign w:val="center"/>
          </w:tcPr>
          <w:p>
            <w:pPr>
              <w:adjustRightInd w:val="0"/>
              <w:spacing w:line="52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核实地下停车场（无地下建筑面积）。核实投资数，两处矛盾。</w:t>
            </w:r>
          </w:p>
        </w:tc>
        <w:tc>
          <w:tcPr>
            <w:tcW w:w="4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已核实，本项目无地下停车场，详见表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-1  项目组成一览表，已说明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核实投资数，改为一致。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645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明确有无换热站（来小区的是热水还是蒸汽，如果是蒸汽就应当有换热站。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换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热站有可能不在金安热电厂区，有可能在别的小区或某个独立区域，即有可能多个小区使用1个换热站）、自来水二次加压泵、电梯、污水处理站及中水回用泵、商业（特别是餐饮业）等。</w:t>
            </w:r>
          </w:p>
        </w:tc>
        <w:tc>
          <w:tcPr>
            <w:tcW w:w="4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已明确本项目换热站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，详见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表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-1  项目组成一览表，已说明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645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平面图中给出化粪池（多少个）、垃圾收集桶（多少个）位置。</w:t>
            </w:r>
          </w:p>
        </w:tc>
        <w:tc>
          <w:tcPr>
            <w:tcW w:w="4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已修改，详见图2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45" w:type="dxa"/>
            <w:vAlign w:val="center"/>
          </w:tcPr>
          <w:p>
            <w:pPr>
              <w:adjustRightInd w:val="0"/>
              <w:spacing w:line="52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核实废水排放标准。核实“昌邑市”污水处理站。</w:t>
            </w:r>
          </w:p>
        </w:tc>
        <w:tc>
          <w:tcPr>
            <w:tcW w:w="4021" w:type="dxa"/>
            <w:vAlign w:val="center"/>
          </w:tcPr>
          <w:p>
            <w:pPr>
              <w:pStyle w:val="5"/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已核实并修改详见“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验收执行标准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”，已核实并修改“昌邑市”污水处理站的相关内容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3645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补充调查规划、实际入住户数和人数（75%的运行负荷指的就是这个）。</w:t>
            </w:r>
          </w:p>
        </w:tc>
        <w:tc>
          <w:tcPr>
            <w:tcW w:w="4021" w:type="dxa"/>
            <w:vAlign w:val="center"/>
          </w:tcPr>
          <w:p>
            <w:pPr>
              <w:pStyle w:val="6"/>
              <w:snapToGrid w:val="0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已补充，详见</w:t>
            </w:r>
            <w:bookmarkStart w:id="0" w:name="_Toc507794353"/>
            <w:bookmarkStart w:id="1" w:name="_Toc332611320"/>
            <w:bookmarkStart w:id="2" w:name="_Toc342550063"/>
            <w:bookmarkStart w:id="3" w:name="_Toc14475"/>
            <w:bookmarkStart w:id="4" w:name="_Toc332611623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4.1 验收期间的工况调查</w:t>
            </w:r>
            <w:bookmarkEnd w:id="0"/>
          </w:p>
          <w:bookmarkEnd w:id="1"/>
          <w:bookmarkEnd w:id="2"/>
          <w:bookmarkEnd w:id="3"/>
          <w:bookmarkEnd w:id="4"/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3645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给出项目变更情况，分别给出环评及批复情况、实际建设情况、变动情况、变动原因等。</w:t>
            </w:r>
          </w:p>
        </w:tc>
        <w:tc>
          <w:tcPr>
            <w:tcW w:w="4021" w:type="dxa"/>
            <w:vAlign w:val="center"/>
          </w:tcPr>
          <w:p>
            <w:pPr>
              <w:pStyle w:val="2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已修改，详见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3.4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项目变更情况；环评及批复情况、实际建设情况详见表4-2“三同时”落实情况一览表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645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结论部分细化本项目环保执行情况。</w:t>
            </w:r>
          </w:p>
        </w:tc>
        <w:tc>
          <w:tcPr>
            <w:tcW w:w="4021" w:type="dxa"/>
            <w:vAlign w:val="center"/>
          </w:tcPr>
          <w:p>
            <w:pPr>
              <w:pStyle w:val="5"/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已细化，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kern w:val="2"/>
                <w:sz w:val="24"/>
                <w:szCs w:val="24"/>
                <w:lang w:val="en-US" w:eastAsia="zh-CN" w:bidi="ar-SA"/>
              </w:rPr>
              <w:t>详见</w:t>
            </w:r>
            <w:r>
              <w:rPr>
                <w:rFonts w:hint="default" w:asciiTheme="minorEastAsia" w:hAnsiTheme="minorEastAsia" w:eastAsiaTheme="minorEastAsia" w:cstheme="minorEastAsia"/>
                <w:b w:val="0"/>
                <w:kern w:val="2"/>
                <w:sz w:val="24"/>
                <w:szCs w:val="24"/>
                <w:lang w:val="en-US" w:eastAsia="zh-CN" w:bidi="ar-SA"/>
              </w:rPr>
              <w:t>验收监测结论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5B8FF"/>
    <w:multiLevelType w:val="multilevel"/>
    <w:tmpl w:val="59E5B8FF"/>
    <w:lvl w:ilvl="0" w:tentative="0">
      <w:start w:val="1"/>
      <w:numFmt w:val="decimal"/>
      <w:pStyle w:val="5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B421B"/>
    <w:rsid w:val="25B04411"/>
    <w:rsid w:val="533E78AA"/>
    <w:rsid w:val="5E141C9A"/>
    <w:rsid w:val="61144D8E"/>
    <w:rsid w:val="6B80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96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00" w:beforeLines="0" w:beforeAutospacing="0" w:after="100" w:afterLines="0" w:afterAutospacing="0" w:line="360" w:lineRule="auto"/>
      <w:ind w:left="432" w:hanging="432"/>
      <w:outlineLvl w:val="0"/>
    </w:pPr>
    <w:rPr>
      <w:b/>
      <w:kern w:val="44"/>
      <w:sz w:val="24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autoSpaceDN w:val="0"/>
      <w:adjustRightInd w:val="0"/>
      <w:spacing w:line="360" w:lineRule="auto"/>
      <w:outlineLvl w:val="1"/>
    </w:pPr>
    <w:rPr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afterLines="0"/>
      <w:ind w:left="420" w:leftChars="200" w:firstLine="420" w:firstLineChars="200"/>
    </w:pPr>
    <w:rPr>
      <w:rFonts w:ascii="Times New Roman" w:hAnsi="Times New Roman"/>
      <w:szCs w:val="20"/>
      <w:u w:val="none"/>
    </w:rPr>
  </w:style>
  <w:style w:type="paragraph" w:styleId="3">
    <w:name w:val="Body Text Indent"/>
    <w:basedOn w:val="1"/>
    <w:next w:val="4"/>
    <w:qFormat/>
    <w:uiPriority w:val="0"/>
    <w:pPr>
      <w:snapToGrid w:val="0"/>
      <w:spacing w:before="100" w:line="240" w:lineRule="atLeast"/>
      <w:ind w:left="91" w:firstLine="561"/>
    </w:pPr>
    <w:rPr>
      <w:rFonts w:ascii="仿宋_GB2312" w:eastAsia="仿宋_GB2312"/>
      <w:sz w:val="24"/>
      <w:szCs w:val="20"/>
    </w:rPr>
  </w:style>
  <w:style w:type="paragraph" w:customStyle="1" w:styleId="4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  <w:sz w:val="24"/>
    </w:rPr>
  </w:style>
  <w:style w:type="paragraph" w:styleId="7">
    <w:name w:val="Normal (Web)"/>
    <w:basedOn w:val="1"/>
    <w:qFormat/>
    <w:uiPriority w:val="0"/>
    <w:pPr>
      <w:widowControl/>
      <w:adjustRightInd w:val="0"/>
      <w:snapToGrid w:val="0"/>
      <w:ind w:firstLine="360" w:firstLineChars="200"/>
    </w:pPr>
    <w:rPr>
      <w:rFonts w:ascii="宋体"/>
      <w:color w:val="000000"/>
      <w:kern w:val="0"/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2018-04-10T01:24:14Z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